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E3" w:rsidRDefault="00263DE3" w:rsidP="00263DE3">
      <w:pPr>
        <w:jc w:val="center"/>
        <w:rPr>
          <w:b/>
          <w:sz w:val="24"/>
          <w:szCs w:val="24"/>
        </w:rPr>
      </w:pPr>
      <w:r>
        <w:rPr>
          <w:b/>
          <w:sz w:val="24"/>
          <w:szCs w:val="24"/>
        </w:rPr>
        <w:t>MECHANIZM PORÓWNYWANIA KOSZTÓW POMIĘDZY PROJEKTAMI</w:t>
      </w:r>
    </w:p>
    <w:p w:rsidR="00263DE3" w:rsidRDefault="00263DE3" w:rsidP="00263DE3">
      <w:pPr>
        <w:pStyle w:val="Default"/>
        <w:jc w:val="both"/>
        <w:rPr>
          <w:rFonts w:asciiTheme="minorHAnsi" w:hAnsiTheme="minorHAnsi" w:cs="Times New Roman"/>
          <w:sz w:val="22"/>
          <w:szCs w:val="22"/>
        </w:rPr>
      </w:pPr>
    </w:p>
    <w:p w:rsidR="00263DE3" w:rsidRDefault="00263DE3" w:rsidP="00263DE3">
      <w:pPr>
        <w:pStyle w:val="Default"/>
        <w:jc w:val="both"/>
        <w:rPr>
          <w:rFonts w:asciiTheme="minorHAnsi" w:hAnsiTheme="minorHAnsi" w:cs="Times New Roman"/>
          <w:sz w:val="22"/>
          <w:szCs w:val="22"/>
        </w:rPr>
      </w:pPr>
      <w:r>
        <w:rPr>
          <w:rFonts w:asciiTheme="minorHAnsi" w:hAnsiTheme="minorHAnsi" w:cs="Times New Roman"/>
          <w:sz w:val="22"/>
          <w:szCs w:val="22"/>
        </w:rPr>
        <w:t xml:space="preserve">Mechanizm porównywania kosztów jest dokumentem obowiązującym przy konstruowaniu oraz ocenie części kosztorysowej </w:t>
      </w:r>
      <w:r w:rsidR="000C3F72">
        <w:rPr>
          <w:rFonts w:asciiTheme="minorHAnsi" w:hAnsiTheme="minorHAnsi" w:cs="Times New Roman"/>
          <w:i/>
          <w:sz w:val="22"/>
          <w:szCs w:val="22"/>
        </w:rPr>
        <w:t>S</w:t>
      </w:r>
      <w:r>
        <w:rPr>
          <w:rFonts w:asciiTheme="minorHAnsi" w:hAnsiTheme="minorHAnsi" w:cs="Times New Roman"/>
          <w:i/>
          <w:sz w:val="22"/>
          <w:szCs w:val="22"/>
        </w:rPr>
        <w:t>pecyfikacji innowacji</w:t>
      </w:r>
      <w:r>
        <w:rPr>
          <w:rFonts w:asciiTheme="minorHAnsi" w:hAnsiTheme="minorHAnsi" w:cs="Times New Roman"/>
          <w:sz w:val="22"/>
          <w:szCs w:val="22"/>
        </w:rPr>
        <w:t>.</w:t>
      </w:r>
      <w:r>
        <w:rPr>
          <w:rFonts w:asciiTheme="minorHAnsi" w:hAnsiTheme="minorHAnsi"/>
          <w:sz w:val="22"/>
          <w:szCs w:val="22"/>
        </w:rPr>
        <w:t xml:space="preserve">  </w:t>
      </w:r>
      <w:r>
        <w:rPr>
          <w:rFonts w:asciiTheme="minorHAnsi" w:hAnsiTheme="minorHAnsi" w:cs="Times New Roman"/>
          <w:sz w:val="22"/>
          <w:szCs w:val="22"/>
        </w:rPr>
        <w:t>Dokument określa wartości wybranych rodzajów kosztów tj. kosztów najczęściej występujących w projektach współfinansowanych ze środków unijnych, co oznacza, że nie jest on katalogiem zamkniętym i w kosztorysach specyfikacji innowacji dopuszcza się stosowanie kategorii kosztów, które nie zostały ujęte w tym mechanizmie.</w:t>
      </w:r>
    </w:p>
    <w:p w:rsidR="00263DE3" w:rsidRDefault="00263DE3" w:rsidP="00263DE3">
      <w:pPr>
        <w:autoSpaceDE w:val="0"/>
        <w:autoSpaceDN w:val="0"/>
        <w:adjustRightInd w:val="0"/>
        <w:spacing w:after="0" w:line="240" w:lineRule="auto"/>
        <w:rPr>
          <w:rFonts w:ascii="Times New Roman" w:hAnsi="Times New Roman"/>
          <w:color w:val="000000"/>
          <w:sz w:val="23"/>
          <w:szCs w:val="23"/>
        </w:rPr>
      </w:pPr>
    </w:p>
    <w:p w:rsidR="00263DE3" w:rsidRDefault="00263DE3" w:rsidP="00263DE3">
      <w:pPr>
        <w:rPr>
          <w:rFonts w:asciiTheme="minorHAnsi" w:eastAsia="Times New Roman" w:hAnsiTheme="minorHAnsi" w:cs="Calibri"/>
          <w:color w:val="000000"/>
          <w:lang w:eastAsia="pl-PL"/>
        </w:rPr>
      </w:pPr>
    </w:p>
    <w:p w:rsidR="00263DE3" w:rsidRDefault="00263DE3" w:rsidP="00263DE3">
      <w:pPr>
        <w:rPr>
          <w:rFonts w:eastAsia="Times New Roman" w:cs="Calibri"/>
          <w:color w:val="000000"/>
          <w:lang w:eastAsia="pl-PL"/>
        </w:rPr>
      </w:pPr>
      <w:r>
        <w:rPr>
          <w:rFonts w:eastAsia="Times New Roman" w:cs="Calibri"/>
          <w:color w:val="000000"/>
          <w:lang w:eastAsia="pl-PL"/>
        </w:rPr>
        <w:t>WAŻNE ZASADY OGÓLNE DOTYCZĄCE OKREŚLENIA KWALIFIKOWALNOŚCI WYDATKÓW</w:t>
      </w:r>
    </w:p>
    <w:p w:rsidR="00263DE3" w:rsidRDefault="00263DE3" w:rsidP="000C3F72">
      <w:pPr>
        <w:jc w:val="both"/>
        <w:rPr>
          <w:rFonts w:eastAsia="Times New Roman" w:cs="Calibri"/>
          <w:color w:val="000000"/>
          <w:lang w:eastAsia="pl-PL"/>
        </w:rPr>
      </w:pPr>
      <w:r>
        <w:rPr>
          <w:rFonts w:eastAsia="Times New Roman" w:cs="Calibri"/>
          <w:color w:val="000000"/>
          <w:lang w:eastAsia="pl-PL"/>
        </w:rPr>
        <w:t xml:space="preserve">1. Granty nie mają służyć doposażeniu jednostek czy pełnienia roli inwestycyjnej, ale </w:t>
      </w:r>
      <w:r>
        <w:rPr>
          <w:rFonts w:eastAsia="Times New Roman" w:cs="Calibri"/>
          <w:color w:val="000000"/>
          <w:u w:val="single"/>
          <w:lang w:eastAsia="pl-PL"/>
        </w:rPr>
        <w:t>opracowaniu innowacji i jej przetestowaniu</w:t>
      </w:r>
      <w:r>
        <w:rPr>
          <w:rFonts w:eastAsia="Times New Roman" w:cs="Calibri"/>
          <w:color w:val="000000"/>
          <w:lang w:eastAsia="pl-PL"/>
        </w:rPr>
        <w:t>. W konsekwencji koszty przewidziane w budżetach innowacji powinny odzwierciedlać przede wszystkim koszt pracy nad innowacyjnym rozwiązaniem. Granty nie powinny być udzielane osobom, które nie są zaznajomione z obszarem/tematem i potrzebują podstawowych zakupów w celu opracowania i przetestowania innowacji.</w:t>
      </w:r>
    </w:p>
    <w:p w:rsidR="00263DE3" w:rsidRDefault="00263DE3" w:rsidP="000C3F72">
      <w:pPr>
        <w:jc w:val="both"/>
        <w:rPr>
          <w:rFonts w:eastAsiaTheme="minorHAnsi" w:cstheme="minorBidi"/>
        </w:rPr>
      </w:pPr>
      <w:r>
        <w:rPr>
          <w:rFonts w:eastAsia="Times New Roman" w:cs="Calibri"/>
          <w:color w:val="000000"/>
          <w:lang w:eastAsia="pl-PL"/>
        </w:rPr>
        <w:t xml:space="preserve">2. W przypadku kosztów związanych z </w:t>
      </w:r>
      <w:r>
        <w:rPr>
          <w:rFonts w:eastAsia="Times New Roman" w:cs="Calibri"/>
          <w:color w:val="000000"/>
          <w:u w:val="single"/>
          <w:lang w:eastAsia="pl-PL"/>
        </w:rPr>
        <w:t>testowaniem innowacji</w:t>
      </w:r>
      <w:r>
        <w:rPr>
          <w:rFonts w:eastAsia="Times New Roman" w:cs="Calibri"/>
          <w:color w:val="000000"/>
          <w:lang w:eastAsia="pl-PL"/>
        </w:rPr>
        <w:t xml:space="preserve">  konieczna jest zwrócenie uwagi, czy wszystkie koszty są </w:t>
      </w:r>
      <w:r>
        <w:rPr>
          <w:rFonts w:eastAsia="Times New Roman" w:cs="Calibri"/>
          <w:i/>
          <w:color w:val="000000"/>
          <w:lang w:eastAsia="pl-PL"/>
        </w:rPr>
        <w:t>racjonalne</w:t>
      </w:r>
      <w:r>
        <w:rPr>
          <w:rFonts w:eastAsia="Times New Roman" w:cs="Calibri"/>
          <w:color w:val="000000"/>
          <w:lang w:eastAsia="pl-PL"/>
        </w:rPr>
        <w:t xml:space="preserve"> i </w:t>
      </w:r>
      <w:r>
        <w:rPr>
          <w:rFonts w:eastAsia="Times New Roman" w:cs="Calibri"/>
          <w:i/>
          <w:color w:val="000000"/>
          <w:lang w:eastAsia="pl-PL"/>
        </w:rPr>
        <w:t>efektywne</w:t>
      </w:r>
      <w:r>
        <w:rPr>
          <w:rFonts w:eastAsia="Times New Roman" w:cs="Calibri"/>
          <w:color w:val="000000"/>
          <w:lang w:eastAsia="pl-PL"/>
        </w:rPr>
        <w:t>.</w:t>
      </w:r>
    </w:p>
    <w:p w:rsidR="00263DE3" w:rsidRDefault="00263DE3" w:rsidP="000C3F72">
      <w:pPr>
        <w:jc w:val="both"/>
        <w:rPr>
          <w:rFonts w:eastAsia="Times New Roman" w:cs="Calibri"/>
          <w:color w:val="000000"/>
          <w:lang w:eastAsia="pl-PL"/>
        </w:rPr>
      </w:pPr>
      <w:r>
        <w:rPr>
          <w:rFonts w:eastAsia="Times New Roman" w:cs="Calibri"/>
          <w:color w:val="000000"/>
          <w:lang w:eastAsia="pl-PL"/>
        </w:rPr>
        <w:t xml:space="preserve">3. Formuła grantowa nie oznacza dowolności w kształtowaniu budżetu i braku kontroli nad jego realizacją. Uelastycznienie sposobu rozliczania środków publicznych oznacza odciążenie </w:t>
      </w:r>
      <w:proofErr w:type="spellStart"/>
      <w:r>
        <w:rPr>
          <w:rFonts w:eastAsia="Times New Roman" w:cs="Calibri"/>
          <w:color w:val="000000"/>
          <w:lang w:eastAsia="pl-PL"/>
        </w:rPr>
        <w:t>grantobiorcy</w:t>
      </w:r>
      <w:proofErr w:type="spellEnd"/>
      <w:r>
        <w:rPr>
          <w:rFonts w:eastAsia="Times New Roman" w:cs="Calibri"/>
          <w:color w:val="000000"/>
          <w:lang w:eastAsia="pl-PL"/>
        </w:rPr>
        <w:t xml:space="preserve"> od formalnych obowiązków, ale  także zwiększenie odpowiedzialności związanej z koniecznością opracowania </w:t>
      </w:r>
      <w:r>
        <w:rPr>
          <w:rFonts w:eastAsia="Times New Roman" w:cs="Calibri"/>
          <w:color w:val="000000"/>
          <w:u w:val="single"/>
          <w:lang w:eastAsia="pl-PL"/>
        </w:rPr>
        <w:t>ambitnych produktów innowacji</w:t>
      </w:r>
      <w:r>
        <w:rPr>
          <w:rFonts w:eastAsia="Times New Roman" w:cs="Calibri"/>
          <w:color w:val="000000"/>
          <w:lang w:eastAsia="pl-PL"/>
        </w:rPr>
        <w:t>.</w:t>
      </w:r>
    </w:p>
    <w:p w:rsidR="00263DE3" w:rsidRDefault="00263DE3" w:rsidP="00263DE3">
      <w:pPr>
        <w:rPr>
          <w:rFonts w:eastAsia="Times New Roman" w:cs="Calibri"/>
          <w:color w:val="000000"/>
          <w:lang w:eastAsia="pl-PL"/>
        </w:rPr>
      </w:pPr>
    </w:p>
    <w:p w:rsidR="00263DE3" w:rsidRDefault="00263DE3" w:rsidP="00263DE3">
      <w:pPr>
        <w:rPr>
          <w:rFonts w:eastAsia="Times New Roman" w:cs="Calibri"/>
          <w:color w:val="000000"/>
          <w:lang w:eastAsia="pl-PL"/>
        </w:rPr>
      </w:pPr>
      <w:r>
        <w:t>Zestawienie standardu i cen rynkowych w zakresie wybranych, najczęściej finansowanych wydatków w ramach PO WER i RPO 2014-2020</w:t>
      </w:r>
    </w:p>
    <w:tbl>
      <w:tblPr>
        <w:tblW w:w="0" w:type="auto"/>
        <w:tblLook w:val="04A0"/>
      </w:tblPr>
      <w:tblGrid>
        <w:gridCol w:w="9078"/>
      </w:tblGrid>
      <w:tr w:rsidR="00263DE3" w:rsidTr="00263DE3">
        <w:trPr>
          <w:trHeight w:val="110"/>
        </w:trPr>
        <w:tc>
          <w:tcPr>
            <w:tcW w:w="9078" w:type="dxa"/>
            <w:tcBorders>
              <w:top w:val="nil"/>
              <w:left w:val="nil"/>
              <w:bottom w:val="nil"/>
              <w:right w:val="nil"/>
            </w:tcBorders>
          </w:tcPr>
          <w:tbl>
            <w:tblPr>
              <w:tblStyle w:val="Tabela-Siatka"/>
              <w:tblW w:w="5000" w:type="pct"/>
              <w:tblLook w:val="04A0"/>
            </w:tblPr>
            <w:tblGrid>
              <w:gridCol w:w="1935"/>
              <w:gridCol w:w="5626"/>
              <w:gridCol w:w="1291"/>
            </w:tblGrid>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jc w:val="center"/>
                    <w:rPr>
                      <w:bCs/>
                      <w:sz w:val="22"/>
                      <w:szCs w:val="22"/>
                    </w:rPr>
                  </w:pPr>
                  <w:r>
                    <w:rPr>
                      <w:bCs/>
                      <w:sz w:val="22"/>
                      <w:szCs w:val="22"/>
                    </w:rPr>
                    <w:t>NAZWA WYDATKU</w:t>
                  </w:r>
                </w:p>
              </w:tc>
              <w:tc>
                <w:tcPr>
                  <w:tcW w:w="3204"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jc w:val="center"/>
                    <w:rPr>
                      <w:bCs/>
                      <w:sz w:val="22"/>
                      <w:szCs w:val="22"/>
                    </w:rPr>
                  </w:pPr>
                  <w:r>
                    <w:rPr>
                      <w:bCs/>
                      <w:sz w:val="22"/>
                      <w:szCs w:val="22"/>
                    </w:rPr>
                    <w:t>OPIS WYDATKU / WARUNKI KWALIFIKOWALNOŚCI</w:t>
                  </w: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jc w:val="center"/>
                    <w:rPr>
                      <w:bCs/>
                      <w:sz w:val="22"/>
                      <w:szCs w:val="22"/>
                    </w:rPr>
                  </w:pPr>
                  <w:r>
                    <w:rPr>
                      <w:bCs/>
                      <w:sz w:val="22"/>
                      <w:szCs w:val="22"/>
                    </w:rPr>
                    <w:t>STAWKA BRUTTO W PLN</w:t>
                  </w:r>
                </w:p>
              </w:tc>
            </w:tr>
            <w:tr w:rsidR="00263DE3">
              <w:tc>
                <w:tcPr>
                  <w:tcW w:w="5000" w:type="pct"/>
                  <w:gridSpan w:val="3"/>
                  <w:tcBorders>
                    <w:top w:val="single" w:sz="4" w:space="0" w:color="auto"/>
                    <w:left w:val="single" w:sz="4" w:space="0" w:color="auto"/>
                    <w:bottom w:val="single" w:sz="4" w:space="0" w:color="auto"/>
                    <w:right w:val="single" w:sz="4" w:space="0" w:color="auto"/>
                  </w:tcBorders>
                  <w:hideMark/>
                </w:tcPr>
                <w:p w:rsidR="00263DE3" w:rsidRDefault="00263DE3">
                  <w:pPr>
                    <w:pStyle w:val="Default"/>
                    <w:jc w:val="center"/>
                    <w:rPr>
                      <w:bCs/>
                      <w:sz w:val="22"/>
                      <w:szCs w:val="22"/>
                    </w:rPr>
                  </w:pPr>
                  <w:r>
                    <w:rPr>
                      <w:bCs/>
                      <w:sz w:val="22"/>
                      <w:szCs w:val="22"/>
                    </w:rPr>
                    <w:t>Personel specjalistyczny</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
                      <w:bCs/>
                      <w:sz w:val="22"/>
                      <w:szCs w:val="22"/>
                    </w:rPr>
                  </w:pPr>
                  <w:r>
                    <w:rPr>
                      <w:sz w:val="22"/>
                      <w:szCs w:val="22"/>
                    </w:rPr>
                    <w:t>psycholog</w:t>
                  </w:r>
                </w:p>
              </w:tc>
              <w:tc>
                <w:tcPr>
                  <w:tcW w:w="3204" w:type="pct"/>
                  <w:tcBorders>
                    <w:top w:val="single" w:sz="4" w:space="0" w:color="auto"/>
                    <w:left w:val="single" w:sz="4" w:space="0" w:color="auto"/>
                    <w:bottom w:val="single" w:sz="4" w:space="0" w:color="auto"/>
                    <w:right w:val="single" w:sz="4" w:space="0" w:color="auto"/>
                  </w:tcBorders>
                </w:tcPr>
                <w:p w:rsidR="00263DE3" w:rsidRDefault="00263DE3">
                  <w:pPr>
                    <w:pStyle w:val="Default"/>
                    <w:rPr>
                      <w:color w:val="auto"/>
                      <w:sz w:val="20"/>
                      <w:szCs w:val="20"/>
                    </w:rPr>
                  </w:pPr>
                  <w:r>
                    <w:rPr>
                      <w:color w:val="auto"/>
                      <w:sz w:val="20"/>
                      <w:szCs w:val="20"/>
                    </w:rPr>
                    <w:t>- uzasadnienie specyfiką projektu</w:t>
                  </w:r>
                </w:p>
                <w:p w:rsidR="00263DE3" w:rsidRDefault="00263DE3">
                  <w:pPr>
                    <w:pStyle w:val="Default"/>
                    <w:rPr>
                      <w:color w:val="auto"/>
                      <w:sz w:val="20"/>
                      <w:szCs w:val="20"/>
                    </w:rPr>
                  </w:pPr>
                  <w:r>
                    <w:rPr>
                      <w:color w:val="auto"/>
                      <w:sz w:val="20"/>
                      <w:szCs w:val="20"/>
                    </w:rPr>
                    <w:t>- posiada wyższe wykształcenie kierunkowe/obowiązujące certyfikaty etc.</w:t>
                  </w:r>
                </w:p>
                <w:p w:rsidR="00263DE3" w:rsidRDefault="00263DE3">
                  <w:pPr>
                    <w:pStyle w:val="Default"/>
                    <w:rPr>
                      <w:sz w:val="20"/>
                      <w:szCs w:val="20"/>
                    </w:rPr>
                  </w:pPr>
                  <w:r>
                    <w:rPr>
                      <w:color w:val="auto"/>
                      <w:sz w:val="20"/>
                      <w:szCs w:val="20"/>
                    </w:rPr>
                    <w:t>- udokumentowane doświadczenie do wykonania określonego działania (nie krótsze niż 2 lata)</w:t>
                  </w:r>
                </w:p>
                <w:p w:rsidR="00263DE3" w:rsidRDefault="00263DE3">
                  <w:pPr>
                    <w:pStyle w:val="Default"/>
                    <w:rPr>
                      <w:b/>
                      <w:bCs/>
                      <w:sz w:val="22"/>
                      <w:szCs w:val="22"/>
                    </w:rPr>
                  </w:pPr>
                </w:p>
                <w:p w:rsidR="00263DE3" w:rsidRDefault="00263DE3">
                  <w:pPr>
                    <w:pStyle w:val="Default"/>
                    <w:rPr>
                      <w:b/>
                      <w:bCs/>
                      <w:sz w:val="22"/>
                      <w:szCs w:val="22"/>
                    </w:rPr>
                  </w:pP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100,00 / h*</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
                      <w:bCs/>
                      <w:sz w:val="22"/>
                      <w:szCs w:val="22"/>
                    </w:rPr>
                  </w:pPr>
                  <w:r>
                    <w:rPr>
                      <w:sz w:val="22"/>
                      <w:szCs w:val="22"/>
                    </w:rPr>
                    <w:t>logopeda</w:t>
                  </w:r>
                </w:p>
              </w:tc>
              <w:tc>
                <w:tcPr>
                  <w:tcW w:w="3204" w:type="pct"/>
                  <w:tcBorders>
                    <w:top w:val="single" w:sz="4" w:space="0" w:color="auto"/>
                    <w:left w:val="single" w:sz="4" w:space="0" w:color="auto"/>
                    <w:bottom w:val="single" w:sz="4" w:space="0" w:color="auto"/>
                    <w:right w:val="single" w:sz="4" w:space="0" w:color="auto"/>
                  </w:tcBorders>
                </w:tcPr>
                <w:p w:rsidR="00263DE3" w:rsidRDefault="00263DE3">
                  <w:pPr>
                    <w:pStyle w:val="Default"/>
                    <w:rPr>
                      <w:color w:val="auto"/>
                      <w:sz w:val="20"/>
                      <w:szCs w:val="20"/>
                    </w:rPr>
                  </w:pPr>
                  <w:r>
                    <w:rPr>
                      <w:color w:val="auto"/>
                      <w:sz w:val="20"/>
                      <w:szCs w:val="20"/>
                    </w:rPr>
                    <w:t>- uzasadnienie specyfiką projektu</w:t>
                  </w:r>
                </w:p>
                <w:p w:rsidR="00263DE3" w:rsidRDefault="00263DE3">
                  <w:pPr>
                    <w:pStyle w:val="Default"/>
                    <w:rPr>
                      <w:color w:val="auto"/>
                      <w:sz w:val="20"/>
                      <w:szCs w:val="20"/>
                    </w:rPr>
                  </w:pPr>
                  <w:r>
                    <w:rPr>
                      <w:color w:val="auto"/>
                      <w:sz w:val="20"/>
                      <w:szCs w:val="20"/>
                    </w:rPr>
                    <w:t xml:space="preserve">- posiada wyższe wykształcenie kierunkowe/obowiązujące </w:t>
                  </w:r>
                  <w:r>
                    <w:rPr>
                      <w:color w:val="auto"/>
                      <w:sz w:val="20"/>
                      <w:szCs w:val="20"/>
                    </w:rPr>
                    <w:lastRenderedPageBreak/>
                    <w:t>certyfikaty etc.</w:t>
                  </w:r>
                </w:p>
                <w:p w:rsidR="00263DE3" w:rsidRDefault="00263DE3">
                  <w:pPr>
                    <w:pStyle w:val="Default"/>
                    <w:rPr>
                      <w:sz w:val="20"/>
                      <w:szCs w:val="20"/>
                    </w:rPr>
                  </w:pPr>
                  <w:r>
                    <w:rPr>
                      <w:color w:val="auto"/>
                      <w:sz w:val="20"/>
                      <w:szCs w:val="20"/>
                    </w:rPr>
                    <w:t>- udokumentowane doświadczenie do wykonania określonego działania (nie krótsze niż 2 lata)</w:t>
                  </w:r>
                </w:p>
                <w:p w:rsidR="00263DE3" w:rsidRDefault="00263DE3">
                  <w:pPr>
                    <w:pStyle w:val="Default"/>
                    <w:rPr>
                      <w:sz w:val="22"/>
                      <w:szCs w:val="22"/>
                    </w:rPr>
                  </w:pP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lastRenderedPageBreak/>
                    <w:t>70,00 / h</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
                      <w:bCs/>
                      <w:sz w:val="22"/>
                      <w:szCs w:val="22"/>
                    </w:rPr>
                  </w:pPr>
                  <w:r>
                    <w:rPr>
                      <w:sz w:val="22"/>
                      <w:szCs w:val="22"/>
                    </w:rPr>
                    <w:lastRenderedPageBreak/>
                    <w:t>doradca zawodowy</w:t>
                  </w:r>
                </w:p>
              </w:tc>
              <w:tc>
                <w:tcPr>
                  <w:tcW w:w="3204" w:type="pct"/>
                  <w:tcBorders>
                    <w:top w:val="single" w:sz="4" w:space="0" w:color="auto"/>
                    <w:left w:val="single" w:sz="4" w:space="0" w:color="auto"/>
                    <w:bottom w:val="single" w:sz="4" w:space="0" w:color="auto"/>
                    <w:right w:val="single" w:sz="4" w:space="0" w:color="auto"/>
                  </w:tcBorders>
                </w:tcPr>
                <w:p w:rsidR="00263DE3" w:rsidRDefault="00263DE3">
                  <w:pPr>
                    <w:pStyle w:val="Default"/>
                    <w:rPr>
                      <w:color w:val="auto"/>
                      <w:sz w:val="20"/>
                      <w:szCs w:val="20"/>
                    </w:rPr>
                  </w:pPr>
                  <w:r>
                    <w:rPr>
                      <w:color w:val="auto"/>
                      <w:sz w:val="20"/>
                      <w:szCs w:val="20"/>
                    </w:rPr>
                    <w:t>- uzasadnienie specyfiką projektu</w:t>
                  </w:r>
                </w:p>
                <w:p w:rsidR="00263DE3" w:rsidRDefault="00263DE3">
                  <w:pPr>
                    <w:pStyle w:val="Default"/>
                    <w:rPr>
                      <w:color w:val="auto"/>
                      <w:sz w:val="20"/>
                      <w:szCs w:val="20"/>
                    </w:rPr>
                  </w:pPr>
                  <w:r>
                    <w:rPr>
                      <w:color w:val="auto"/>
                      <w:sz w:val="20"/>
                      <w:szCs w:val="20"/>
                    </w:rPr>
                    <w:t>- posiada wyższe wykształcenie kierunkowe/obowiązujące certyfikaty etc.</w:t>
                  </w:r>
                </w:p>
                <w:p w:rsidR="00263DE3" w:rsidRDefault="00263DE3">
                  <w:pPr>
                    <w:pStyle w:val="Default"/>
                    <w:rPr>
                      <w:sz w:val="20"/>
                      <w:szCs w:val="20"/>
                    </w:rPr>
                  </w:pPr>
                  <w:r>
                    <w:rPr>
                      <w:color w:val="auto"/>
                      <w:sz w:val="20"/>
                      <w:szCs w:val="20"/>
                    </w:rPr>
                    <w:t>- udokumentowane doświadczenie do wykonania określonego działania (nie krótsze niż 2 lata)</w:t>
                  </w:r>
                </w:p>
                <w:p w:rsidR="00263DE3" w:rsidRDefault="00263DE3">
                  <w:pPr>
                    <w:pStyle w:val="Default"/>
                    <w:rPr>
                      <w:b/>
                      <w:bCs/>
                      <w:sz w:val="22"/>
                      <w:szCs w:val="22"/>
                    </w:rPr>
                  </w:pP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90,00 / h</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
                      <w:bCs/>
                      <w:sz w:val="22"/>
                      <w:szCs w:val="22"/>
                    </w:rPr>
                  </w:pPr>
                  <w:r>
                    <w:rPr>
                      <w:sz w:val="22"/>
                      <w:szCs w:val="22"/>
                    </w:rPr>
                    <w:t>poradnictwo prawne</w:t>
                  </w:r>
                </w:p>
              </w:tc>
              <w:tc>
                <w:tcPr>
                  <w:tcW w:w="3204"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color w:val="auto"/>
                      <w:sz w:val="20"/>
                      <w:szCs w:val="20"/>
                    </w:rPr>
                  </w:pPr>
                  <w:r>
                    <w:rPr>
                      <w:color w:val="auto"/>
                      <w:sz w:val="20"/>
                      <w:szCs w:val="20"/>
                    </w:rPr>
                    <w:t>- uzasadnienie specyfiką projektu</w:t>
                  </w:r>
                </w:p>
                <w:p w:rsidR="00263DE3" w:rsidRDefault="00263DE3">
                  <w:pPr>
                    <w:pStyle w:val="Default"/>
                    <w:rPr>
                      <w:color w:val="auto"/>
                      <w:sz w:val="20"/>
                      <w:szCs w:val="20"/>
                    </w:rPr>
                  </w:pPr>
                  <w:r>
                    <w:rPr>
                      <w:color w:val="auto"/>
                      <w:sz w:val="20"/>
                      <w:szCs w:val="20"/>
                    </w:rPr>
                    <w:t>- posiada wyższe wykształcenie kierunkowe/obowiązujące certyfikaty etc.</w:t>
                  </w:r>
                </w:p>
                <w:p w:rsidR="00263DE3" w:rsidRDefault="00263DE3">
                  <w:pPr>
                    <w:pStyle w:val="Default"/>
                    <w:rPr>
                      <w:sz w:val="20"/>
                      <w:szCs w:val="20"/>
                    </w:rPr>
                  </w:pPr>
                  <w:r>
                    <w:rPr>
                      <w:color w:val="auto"/>
                      <w:sz w:val="20"/>
                      <w:szCs w:val="20"/>
                    </w:rPr>
                    <w:t>- udokumentowane doświadczenie do wykonania określonego działania (nie krótsze niż 2 lata)</w:t>
                  </w: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120,00 / h</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
                      <w:bCs/>
                      <w:sz w:val="22"/>
                      <w:szCs w:val="22"/>
                    </w:rPr>
                  </w:pPr>
                  <w:r>
                    <w:rPr>
                      <w:bCs/>
                      <w:sz w:val="22"/>
                      <w:szCs w:val="22"/>
                    </w:rPr>
                    <w:t>trener – prowadzenie zajęć</w:t>
                  </w:r>
                </w:p>
              </w:tc>
              <w:tc>
                <w:tcPr>
                  <w:tcW w:w="3204" w:type="pct"/>
                  <w:tcBorders>
                    <w:top w:val="single" w:sz="4" w:space="0" w:color="auto"/>
                    <w:left w:val="single" w:sz="4" w:space="0" w:color="auto"/>
                    <w:bottom w:val="single" w:sz="4" w:space="0" w:color="auto"/>
                    <w:right w:val="single" w:sz="4" w:space="0" w:color="auto"/>
                  </w:tcBorders>
                </w:tcPr>
                <w:p w:rsidR="00263DE3" w:rsidRDefault="00263DE3">
                  <w:pPr>
                    <w:pStyle w:val="Default"/>
                    <w:rPr>
                      <w:color w:val="auto"/>
                      <w:sz w:val="20"/>
                      <w:szCs w:val="20"/>
                    </w:rPr>
                  </w:pPr>
                  <w:r>
                    <w:rPr>
                      <w:color w:val="auto"/>
                      <w:sz w:val="20"/>
                      <w:szCs w:val="20"/>
                    </w:rPr>
                    <w:t>- uzasadnienie specyfiką projektu</w:t>
                  </w:r>
                </w:p>
                <w:p w:rsidR="00263DE3" w:rsidRDefault="00263DE3">
                  <w:pPr>
                    <w:pStyle w:val="Default"/>
                    <w:rPr>
                      <w:color w:val="auto"/>
                      <w:sz w:val="20"/>
                      <w:szCs w:val="20"/>
                    </w:rPr>
                  </w:pPr>
                  <w:r>
                    <w:rPr>
                      <w:color w:val="auto"/>
                      <w:sz w:val="20"/>
                      <w:szCs w:val="20"/>
                    </w:rPr>
                    <w:t>- posiada wyższe wykształcenie kierunkowe/obowiązujące certyfikaty etc.</w:t>
                  </w:r>
                </w:p>
                <w:p w:rsidR="00263DE3" w:rsidRDefault="00263DE3">
                  <w:pPr>
                    <w:pStyle w:val="Default"/>
                    <w:rPr>
                      <w:sz w:val="20"/>
                      <w:szCs w:val="20"/>
                    </w:rPr>
                  </w:pPr>
                  <w:r>
                    <w:rPr>
                      <w:color w:val="auto"/>
                      <w:sz w:val="20"/>
                      <w:szCs w:val="20"/>
                    </w:rPr>
                    <w:t>- udokumentowane doświadczenie do wykonania określonego działania (nie krótsze niż 2 lata i min. 200h przeprowadzonych godzin zajęć)</w:t>
                  </w:r>
                </w:p>
                <w:p w:rsidR="00263DE3" w:rsidRDefault="00263DE3">
                  <w:pPr>
                    <w:pStyle w:val="Default"/>
                    <w:rPr>
                      <w:bCs/>
                      <w:sz w:val="22"/>
                      <w:szCs w:val="22"/>
                    </w:rPr>
                  </w:pP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100,00 / h</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
                      <w:bCs/>
                      <w:sz w:val="22"/>
                      <w:szCs w:val="22"/>
                    </w:rPr>
                  </w:pPr>
                  <w:r>
                    <w:rPr>
                      <w:bCs/>
                      <w:sz w:val="22"/>
                      <w:szCs w:val="22"/>
                    </w:rPr>
                    <w:t>tłumacz języka migowego</w:t>
                  </w:r>
                </w:p>
              </w:tc>
              <w:tc>
                <w:tcPr>
                  <w:tcW w:w="3204" w:type="pct"/>
                  <w:tcBorders>
                    <w:top w:val="single" w:sz="4" w:space="0" w:color="auto"/>
                    <w:left w:val="single" w:sz="4" w:space="0" w:color="auto"/>
                    <w:bottom w:val="single" w:sz="4" w:space="0" w:color="auto"/>
                    <w:right w:val="single" w:sz="4" w:space="0" w:color="auto"/>
                  </w:tcBorders>
                </w:tcPr>
                <w:p w:rsidR="00263DE3" w:rsidRDefault="00263DE3">
                  <w:pPr>
                    <w:pStyle w:val="Default"/>
                    <w:rPr>
                      <w:color w:val="auto"/>
                      <w:sz w:val="20"/>
                      <w:szCs w:val="20"/>
                    </w:rPr>
                  </w:pPr>
                  <w:r>
                    <w:rPr>
                      <w:color w:val="auto"/>
                      <w:sz w:val="20"/>
                      <w:szCs w:val="20"/>
                    </w:rPr>
                    <w:t>- uzasadnienie specyfiką projektu</w:t>
                  </w:r>
                </w:p>
                <w:p w:rsidR="00263DE3" w:rsidRDefault="00263DE3">
                  <w:pPr>
                    <w:pStyle w:val="Default"/>
                    <w:rPr>
                      <w:color w:val="auto"/>
                      <w:sz w:val="20"/>
                      <w:szCs w:val="20"/>
                    </w:rPr>
                  </w:pPr>
                  <w:r>
                    <w:rPr>
                      <w:color w:val="auto"/>
                      <w:sz w:val="20"/>
                      <w:szCs w:val="20"/>
                    </w:rPr>
                    <w:t>- posiada wyższe wykształcenie kierunkowe/obowiązujące certyfikaty etc.</w:t>
                  </w:r>
                </w:p>
                <w:p w:rsidR="00263DE3" w:rsidRDefault="00263DE3">
                  <w:pPr>
                    <w:pStyle w:val="Default"/>
                    <w:rPr>
                      <w:sz w:val="20"/>
                      <w:szCs w:val="20"/>
                    </w:rPr>
                  </w:pPr>
                  <w:r>
                    <w:rPr>
                      <w:color w:val="auto"/>
                      <w:sz w:val="20"/>
                      <w:szCs w:val="20"/>
                    </w:rPr>
                    <w:t>- udokumentowane doświadczenie do wykonania określonego działania (nie krótsze niż 2 lata)</w:t>
                  </w:r>
                </w:p>
                <w:p w:rsidR="00263DE3" w:rsidRDefault="00263DE3">
                  <w:pPr>
                    <w:pStyle w:val="Default"/>
                    <w:rPr>
                      <w:bCs/>
                      <w:sz w:val="22"/>
                      <w:szCs w:val="22"/>
                    </w:rPr>
                  </w:pP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100,00 / h</w:t>
                  </w:r>
                </w:p>
              </w:tc>
            </w:tr>
            <w:tr w:rsidR="00263DE3">
              <w:tc>
                <w:tcPr>
                  <w:tcW w:w="5000" w:type="pct"/>
                  <w:gridSpan w:val="3"/>
                  <w:tcBorders>
                    <w:top w:val="single" w:sz="4" w:space="0" w:color="auto"/>
                    <w:left w:val="single" w:sz="4" w:space="0" w:color="auto"/>
                    <w:bottom w:val="single" w:sz="4" w:space="0" w:color="auto"/>
                    <w:right w:val="single" w:sz="4" w:space="0" w:color="auto"/>
                  </w:tcBorders>
                  <w:hideMark/>
                </w:tcPr>
                <w:p w:rsidR="00263DE3" w:rsidRDefault="00263DE3">
                  <w:pPr>
                    <w:pStyle w:val="Default"/>
                    <w:jc w:val="center"/>
                    <w:rPr>
                      <w:bCs/>
                      <w:sz w:val="22"/>
                      <w:szCs w:val="22"/>
                    </w:rPr>
                  </w:pPr>
                  <w:r>
                    <w:rPr>
                      <w:bCs/>
                      <w:sz w:val="22"/>
                      <w:szCs w:val="22"/>
                    </w:rPr>
                    <w:t>Testowanie w mikroskali</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
                      <w:bCs/>
                      <w:sz w:val="22"/>
                      <w:szCs w:val="22"/>
                    </w:rPr>
                  </w:pPr>
                  <w:r>
                    <w:rPr>
                      <w:bCs/>
                      <w:sz w:val="22"/>
                      <w:szCs w:val="22"/>
                    </w:rPr>
                    <w:t>wynajem sali z wyposażeniem</w:t>
                  </w:r>
                </w:p>
              </w:tc>
              <w:tc>
                <w:tcPr>
                  <w:tcW w:w="3204" w:type="pct"/>
                  <w:tcBorders>
                    <w:top w:val="single" w:sz="4" w:space="0" w:color="auto"/>
                    <w:left w:val="single" w:sz="4" w:space="0" w:color="auto"/>
                    <w:bottom w:val="single" w:sz="4" w:space="0" w:color="auto"/>
                    <w:right w:val="single" w:sz="4" w:space="0" w:color="auto"/>
                  </w:tcBorders>
                </w:tcPr>
                <w:p w:rsidR="00263DE3" w:rsidRDefault="00263DE3">
                  <w:pPr>
                    <w:pStyle w:val="Default"/>
                    <w:rPr>
                      <w:color w:val="auto"/>
                      <w:sz w:val="20"/>
                      <w:szCs w:val="20"/>
                    </w:rPr>
                  </w:pPr>
                  <w:r>
                    <w:rPr>
                      <w:color w:val="auto"/>
                      <w:sz w:val="20"/>
                      <w:szCs w:val="20"/>
                    </w:rPr>
                    <w:t>- uzasadnienie specyfiką projektu</w:t>
                  </w:r>
                </w:p>
                <w:p w:rsidR="00263DE3" w:rsidRDefault="00263DE3">
                  <w:pPr>
                    <w:pStyle w:val="Default"/>
                    <w:rPr>
                      <w:sz w:val="20"/>
                      <w:szCs w:val="20"/>
                    </w:rPr>
                  </w:pPr>
                  <w:r>
                    <w:rPr>
                      <w:sz w:val="20"/>
                      <w:szCs w:val="20"/>
                    </w:rPr>
                    <w:t xml:space="preserve">zapewnienie odpowiednich warunków socjalnych oraz bhp w tym uwzględnienie przy organizacji wsparcia barier architektonicznych w związku z udziałem w projekcie osób niepełnosprawnych tak, by umożliwić im udział w projekcie. </w:t>
                  </w:r>
                </w:p>
                <w:p w:rsidR="00263DE3" w:rsidRDefault="00263DE3">
                  <w:pPr>
                    <w:pStyle w:val="Default"/>
                    <w:rPr>
                      <w:bCs/>
                      <w:sz w:val="22"/>
                      <w:szCs w:val="22"/>
                    </w:rPr>
                  </w:pP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55,00 / h</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wynajem sali komputerowej</w:t>
                  </w:r>
                </w:p>
              </w:tc>
              <w:tc>
                <w:tcPr>
                  <w:tcW w:w="3204" w:type="pct"/>
                  <w:tcBorders>
                    <w:top w:val="single" w:sz="4" w:space="0" w:color="auto"/>
                    <w:left w:val="single" w:sz="4" w:space="0" w:color="auto"/>
                    <w:bottom w:val="single" w:sz="4" w:space="0" w:color="auto"/>
                    <w:right w:val="single" w:sz="4" w:space="0" w:color="auto"/>
                  </w:tcBorders>
                </w:tcPr>
                <w:p w:rsidR="00263DE3" w:rsidRDefault="00263DE3">
                  <w:pPr>
                    <w:pStyle w:val="Default"/>
                    <w:rPr>
                      <w:color w:val="auto"/>
                      <w:sz w:val="20"/>
                      <w:szCs w:val="20"/>
                    </w:rPr>
                  </w:pPr>
                  <w:r>
                    <w:rPr>
                      <w:color w:val="auto"/>
                      <w:sz w:val="20"/>
                      <w:szCs w:val="20"/>
                    </w:rPr>
                    <w:t>- uzasadnienie specyfiką projektu</w:t>
                  </w:r>
                </w:p>
                <w:p w:rsidR="00263DE3" w:rsidRDefault="00263DE3">
                  <w:pPr>
                    <w:pStyle w:val="Default"/>
                    <w:rPr>
                      <w:sz w:val="20"/>
                      <w:szCs w:val="20"/>
                    </w:rPr>
                  </w:pPr>
                  <w:r>
                    <w:rPr>
                      <w:sz w:val="20"/>
                      <w:szCs w:val="20"/>
                    </w:rPr>
                    <w:t xml:space="preserve">- zapewnienie odpowiednich warunków socjalnych oraz bhp w tym uwzględnienie przy organizacji wsparcia barier architektonicznych w związku z udziałem w projekcie osób niepełnosprawnych tak, by umożliwić im udział w projekcie. </w:t>
                  </w:r>
                </w:p>
                <w:p w:rsidR="00263DE3" w:rsidRDefault="00263DE3">
                  <w:pPr>
                    <w:pStyle w:val="Default"/>
                    <w:rPr>
                      <w:bCs/>
                      <w:sz w:val="22"/>
                      <w:szCs w:val="22"/>
                    </w:rPr>
                  </w:pP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70,00 / h</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wynajem sali konferencyjnej (pow. 20 os.)</w:t>
                  </w:r>
                </w:p>
              </w:tc>
              <w:tc>
                <w:tcPr>
                  <w:tcW w:w="3204" w:type="pct"/>
                  <w:tcBorders>
                    <w:top w:val="single" w:sz="4" w:space="0" w:color="auto"/>
                    <w:left w:val="single" w:sz="4" w:space="0" w:color="auto"/>
                    <w:bottom w:val="single" w:sz="4" w:space="0" w:color="auto"/>
                    <w:right w:val="single" w:sz="4" w:space="0" w:color="auto"/>
                  </w:tcBorders>
                </w:tcPr>
                <w:p w:rsidR="00263DE3" w:rsidRDefault="00263DE3">
                  <w:pPr>
                    <w:pStyle w:val="Default"/>
                    <w:rPr>
                      <w:color w:val="auto"/>
                      <w:sz w:val="20"/>
                      <w:szCs w:val="20"/>
                    </w:rPr>
                  </w:pPr>
                  <w:r>
                    <w:rPr>
                      <w:color w:val="auto"/>
                      <w:sz w:val="20"/>
                      <w:szCs w:val="20"/>
                    </w:rPr>
                    <w:t>- uzasadnienie specyfiką projektu</w:t>
                  </w:r>
                </w:p>
                <w:p w:rsidR="00263DE3" w:rsidRDefault="00263DE3">
                  <w:pPr>
                    <w:pStyle w:val="Default"/>
                    <w:rPr>
                      <w:sz w:val="20"/>
                      <w:szCs w:val="20"/>
                    </w:rPr>
                  </w:pPr>
                  <w:r>
                    <w:rPr>
                      <w:sz w:val="20"/>
                      <w:szCs w:val="20"/>
                    </w:rPr>
                    <w:t xml:space="preserve">- zapewnienie odpowiednich warunków socjalnych oraz bhp w tym uwzględnienie przy organizacji wsparcia barier architektonicznych w związku z udziałem w projekcie osób niepełnosprawnych tak, by umożliwić im udział w projekcie. </w:t>
                  </w:r>
                </w:p>
                <w:p w:rsidR="00263DE3" w:rsidRDefault="00263DE3">
                  <w:pPr>
                    <w:pStyle w:val="Default"/>
                    <w:rPr>
                      <w:bCs/>
                      <w:sz w:val="22"/>
                      <w:szCs w:val="22"/>
                    </w:rPr>
                  </w:pP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70,00 / h</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
                      <w:bCs/>
                      <w:sz w:val="22"/>
                      <w:szCs w:val="22"/>
                    </w:rPr>
                  </w:pPr>
                  <w:r>
                    <w:rPr>
                      <w:bCs/>
                      <w:sz w:val="22"/>
                      <w:szCs w:val="22"/>
                    </w:rPr>
                    <w:t>przerwa kawowa</w:t>
                  </w:r>
                </w:p>
              </w:tc>
              <w:tc>
                <w:tcPr>
                  <w:tcW w:w="3204"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color w:val="auto"/>
                      <w:sz w:val="20"/>
                      <w:szCs w:val="20"/>
                    </w:rPr>
                  </w:pPr>
                  <w:r>
                    <w:rPr>
                      <w:color w:val="auto"/>
                      <w:sz w:val="20"/>
                      <w:szCs w:val="20"/>
                    </w:rPr>
                    <w:t>- uzasadnienie specyfiką projektu</w:t>
                  </w:r>
                </w:p>
                <w:p w:rsidR="00263DE3" w:rsidRDefault="00263DE3">
                  <w:pPr>
                    <w:pStyle w:val="Default"/>
                    <w:rPr>
                      <w:color w:val="auto"/>
                      <w:sz w:val="20"/>
                      <w:szCs w:val="20"/>
                    </w:rPr>
                  </w:pPr>
                  <w:r>
                    <w:rPr>
                      <w:color w:val="auto"/>
                      <w:sz w:val="20"/>
                      <w:szCs w:val="20"/>
                    </w:rPr>
                    <w:t xml:space="preserve">- uzasadnione o ile forma wsparcia w ramach której ma być </w:t>
                  </w:r>
                  <w:r>
                    <w:rPr>
                      <w:color w:val="auto"/>
                      <w:sz w:val="20"/>
                      <w:szCs w:val="20"/>
                    </w:rPr>
                    <w:lastRenderedPageBreak/>
                    <w:t>świadczona usługa trwa min. 4h lekcyjne</w:t>
                  </w:r>
                </w:p>
                <w:p w:rsidR="00263DE3" w:rsidRDefault="00263DE3">
                  <w:pPr>
                    <w:pStyle w:val="Default"/>
                    <w:rPr>
                      <w:bCs/>
                      <w:sz w:val="22"/>
                      <w:szCs w:val="22"/>
                    </w:rPr>
                  </w:pPr>
                  <w:r>
                    <w:rPr>
                      <w:color w:val="auto"/>
                      <w:sz w:val="20"/>
                      <w:szCs w:val="20"/>
                    </w:rPr>
                    <w:t>- obejmuje kawę, herbatę, wodę, mleko, cukier, cytryna, drobne słone lub słodkie przekąski typu paluszki lub kruche ciastka lub owoce, przy czym istnienie możliwość szerszego zakresu usługi o ile mieści się w określonej cenie rynkowej</w:t>
                  </w: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lastRenderedPageBreak/>
                    <w:t xml:space="preserve">15,00 / os./dzień </w:t>
                  </w:r>
                  <w:r>
                    <w:rPr>
                      <w:bCs/>
                      <w:sz w:val="22"/>
                      <w:szCs w:val="22"/>
                    </w:rPr>
                    <w:lastRenderedPageBreak/>
                    <w:t>szkol.</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
                      <w:bCs/>
                      <w:sz w:val="22"/>
                      <w:szCs w:val="22"/>
                    </w:rPr>
                  </w:pPr>
                  <w:r>
                    <w:rPr>
                      <w:bCs/>
                      <w:sz w:val="22"/>
                      <w:szCs w:val="22"/>
                    </w:rPr>
                    <w:lastRenderedPageBreak/>
                    <w:t>lunch / obiad / kolacja</w:t>
                  </w:r>
                </w:p>
              </w:tc>
              <w:tc>
                <w:tcPr>
                  <w:tcW w:w="3204" w:type="pct"/>
                  <w:tcBorders>
                    <w:top w:val="single" w:sz="4" w:space="0" w:color="auto"/>
                    <w:left w:val="single" w:sz="4" w:space="0" w:color="auto"/>
                    <w:bottom w:val="single" w:sz="4" w:space="0" w:color="auto"/>
                    <w:right w:val="single" w:sz="4" w:space="0" w:color="auto"/>
                  </w:tcBorders>
                </w:tcPr>
                <w:p w:rsidR="00263DE3" w:rsidRDefault="00263DE3">
                  <w:pPr>
                    <w:pStyle w:val="Default"/>
                    <w:rPr>
                      <w:color w:val="auto"/>
                      <w:sz w:val="20"/>
                      <w:szCs w:val="20"/>
                    </w:rPr>
                  </w:pPr>
                  <w:r>
                    <w:rPr>
                      <w:color w:val="auto"/>
                      <w:sz w:val="20"/>
                      <w:szCs w:val="20"/>
                    </w:rPr>
                    <w:t>- uzasadnienie specyfiką projektu</w:t>
                  </w:r>
                </w:p>
                <w:p w:rsidR="00263DE3" w:rsidRDefault="00263DE3">
                  <w:pPr>
                    <w:pStyle w:val="Default"/>
                    <w:rPr>
                      <w:sz w:val="20"/>
                      <w:szCs w:val="20"/>
                    </w:rPr>
                  </w:pPr>
                  <w:r>
                    <w:rPr>
                      <w:sz w:val="20"/>
                      <w:szCs w:val="20"/>
                    </w:rPr>
                    <w:t xml:space="preserve">- obejmuje dwa dania (zupa i drugie danie) przy czym istnieje możliwość szerszego zakresu usługi, o ile mieści się w określonej cenie rynkowej - w przypadku lunch/ obiadu wydatek kwalifikowany, o ile wsparcie dla tej samej grupy osób w danym dniu trwa co najmniej 6 godzin lekcyjnych (tj. 6 x 45 min). </w:t>
                  </w:r>
                </w:p>
                <w:p w:rsidR="00263DE3" w:rsidRDefault="00263DE3">
                  <w:pPr>
                    <w:pStyle w:val="Default"/>
                    <w:rPr>
                      <w:bCs/>
                      <w:sz w:val="22"/>
                      <w:szCs w:val="22"/>
                    </w:rPr>
                  </w:pP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35,00 / os.</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
                      <w:bCs/>
                      <w:sz w:val="22"/>
                      <w:szCs w:val="22"/>
                    </w:rPr>
                  </w:pPr>
                  <w:proofErr w:type="spellStart"/>
                  <w:r>
                    <w:rPr>
                      <w:sz w:val="22"/>
                      <w:szCs w:val="22"/>
                    </w:rPr>
                    <w:t>pendrive</w:t>
                  </w:r>
                  <w:proofErr w:type="spellEnd"/>
                  <w:r>
                    <w:rPr>
                      <w:sz w:val="22"/>
                      <w:szCs w:val="22"/>
                    </w:rPr>
                    <w:t xml:space="preserve"> z materiałami</w:t>
                  </w:r>
                </w:p>
              </w:tc>
              <w:tc>
                <w:tcPr>
                  <w:tcW w:w="3204" w:type="pct"/>
                  <w:tcBorders>
                    <w:top w:val="single" w:sz="4" w:space="0" w:color="auto"/>
                    <w:left w:val="single" w:sz="4" w:space="0" w:color="auto"/>
                    <w:bottom w:val="single" w:sz="4" w:space="0" w:color="auto"/>
                    <w:right w:val="single" w:sz="4" w:space="0" w:color="auto"/>
                  </w:tcBorders>
                </w:tcPr>
                <w:p w:rsidR="00263DE3" w:rsidRDefault="00263DE3">
                  <w:pPr>
                    <w:pStyle w:val="Default"/>
                    <w:rPr>
                      <w:bCs/>
                      <w:sz w:val="22"/>
                      <w:szCs w:val="22"/>
                    </w:rPr>
                  </w:pP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55,00 szt.</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
                      <w:bCs/>
                      <w:sz w:val="22"/>
                      <w:szCs w:val="22"/>
                    </w:rPr>
                  </w:pPr>
                  <w:r>
                    <w:rPr>
                      <w:sz w:val="22"/>
                      <w:szCs w:val="22"/>
                    </w:rPr>
                    <w:t>zestaw szkoleniowy (m.in. teczka, notes, długopis)</w:t>
                  </w:r>
                </w:p>
              </w:tc>
              <w:tc>
                <w:tcPr>
                  <w:tcW w:w="3204" w:type="pct"/>
                  <w:tcBorders>
                    <w:top w:val="single" w:sz="4" w:space="0" w:color="auto"/>
                    <w:left w:val="single" w:sz="4" w:space="0" w:color="auto"/>
                    <w:bottom w:val="single" w:sz="4" w:space="0" w:color="auto"/>
                    <w:right w:val="single" w:sz="4" w:space="0" w:color="auto"/>
                  </w:tcBorders>
                </w:tcPr>
                <w:p w:rsidR="00263DE3" w:rsidRDefault="00263DE3">
                  <w:pPr>
                    <w:pStyle w:val="Default"/>
                    <w:rPr>
                      <w:sz w:val="22"/>
                      <w:szCs w:val="22"/>
                    </w:rPr>
                  </w:pP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20,00 zestaw</w:t>
                  </w:r>
                </w:p>
              </w:tc>
            </w:tr>
            <w:tr w:rsidR="00263DE3">
              <w:tc>
                <w:tcPr>
                  <w:tcW w:w="1119"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sz w:val="22"/>
                      <w:szCs w:val="22"/>
                    </w:rPr>
                  </w:pPr>
                  <w:r>
                    <w:rPr>
                      <w:sz w:val="22"/>
                      <w:szCs w:val="22"/>
                    </w:rPr>
                    <w:t>zwrot kosztów dojazdu</w:t>
                  </w:r>
                </w:p>
              </w:tc>
              <w:tc>
                <w:tcPr>
                  <w:tcW w:w="3204" w:type="pct"/>
                  <w:tcBorders>
                    <w:top w:val="single" w:sz="4" w:space="0" w:color="auto"/>
                    <w:left w:val="single" w:sz="4" w:space="0" w:color="auto"/>
                    <w:bottom w:val="single" w:sz="4" w:space="0" w:color="auto"/>
                    <w:right w:val="single" w:sz="4" w:space="0" w:color="auto"/>
                  </w:tcBorders>
                </w:tcPr>
                <w:p w:rsidR="00263DE3" w:rsidRDefault="00263DE3">
                  <w:pPr>
                    <w:pStyle w:val="Default"/>
                    <w:rPr>
                      <w:sz w:val="20"/>
                      <w:szCs w:val="20"/>
                    </w:rPr>
                  </w:pPr>
                  <w:r>
                    <w:rPr>
                      <w:sz w:val="20"/>
                      <w:szCs w:val="20"/>
                    </w:rPr>
                    <w:t xml:space="preserve">- wydatek kwalifikowany w związku z uzasadnionymi potrzebami grupy docelowej (np. koszty dojazdów dla osób niepełnosprawnych, bezrobotnych) - wydatek kwalifikowany do wysokości opłat za środki transportu publicznego szynowego 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 </w:t>
                  </w:r>
                </w:p>
                <w:p w:rsidR="00263DE3" w:rsidRDefault="00263DE3">
                  <w:pPr>
                    <w:pStyle w:val="Default"/>
                    <w:rPr>
                      <w:sz w:val="22"/>
                      <w:szCs w:val="22"/>
                    </w:rPr>
                  </w:pPr>
                </w:p>
              </w:tc>
              <w:tc>
                <w:tcPr>
                  <w:tcW w:w="677" w:type="pct"/>
                  <w:tcBorders>
                    <w:top w:val="single" w:sz="4" w:space="0" w:color="auto"/>
                    <w:left w:val="single" w:sz="4" w:space="0" w:color="auto"/>
                    <w:bottom w:val="single" w:sz="4" w:space="0" w:color="auto"/>
                    <w:right w:val="single" w:sz="4" w:space="0" w:color="auto"/>
                  </w:tcBorders>
                  <w:hideMark/>
                </w:tcPr>
                <w:p w:rsidR="00263DE3" w:rsidRDefault="00263DE3">
                  <w:pPr>
                    <w:pStyle w:val="Default"/>
                    <w:rPr>
                      <w:bCs/>
                      <w:sz w:val="22"/>
                      <w:szCs w:val="22"/>
                    </w:rPr>
                  </w:pPr>
                  <w:r>
                    <w:rPr>
                      <w:bCs/>
                      <w:sz w:val="22"/>
                      <w:szCs w:val="22"/>
                    </w:rPr>
                    <w:t>w zależ. od cenników operatorów</w:t>
                  </w:r>
                </w:p>
                <w:p w:rsidR="00263DE3" w:rsidRDefault="00263DE3">
                  <w:pPr>
                    <w:pStyle w:val="Default"/>
                    <w:rPr>
                      <w:bCs/>
                      <w:sz w:val="22"/>
                      <w:szCs w:val="22"/>
                    </w:rPr>
                  </w:pPr>
                  <w:r>
                    <w:rPr>
                      <w:bCs/>
                      <w:sz w:val="22"/>
                      <w:szCs w:val="22"/>
                    </w:rPr>
                    <w:t>komunikacji publicznej</w:t>
                  </w:r>
                </w:p>
              </w:tc>
            </w:tr>
          </w:tbl>
          <w:p w:rsidR="00263DE3" w:rsidRDefault="00263DE3">
            <w:pPr>
              <w:pStyle w:val="Default"/>
              <w:spacing w:line="276" w:lineRule="auto"/>
              <w:rPr>
                <w:b/>
                <w:bCs/>
                <w:sz w:val="22"/>
                <w:szCs w:val="22"/>
              </w:rPr>
            </w:pPr>
          </w:p>
          <w:p w:rsidR="00263DE3" w:rsidRDefault="00263DE3">
            <w:pPr>
              <w:pStyle w:val="Default"/>
              <w:spacing w:line="276" w:lineRule="auto"/>
              <w:rPr>
                <w:b/>
                <w:bCs/>
                <w:sz w:val="22"/>
                <w:szCs w:val="22"/>
              </w:rPr>
            </w:pPr>
          </w:p>
          <w:p w:rsidR="00263DE3" w:rsidRDefault="00263DE3">
            <w:pPr>
              <w:pStyle w:val="Default"/>
              <w:spacing w:line="276" w:lineRule="auto"/>
              <w:rPr>
                <w:sz w:val="22"/>
                <w:szCs w:val="22"/>
              </w:rPr>
            </w:pPr>
          </w:p>
        </w:tc>
      </w:tr>
    </w:tbl>
    <w:p w:rsidR="00263DE3" w:rsidRDefault="00263DE3" w:rsidP="00263DE3">
      <w:pPr>
        <w:rPr>
          <w:rFonts w:eastAsia="Times New Roman" w:cs="Calibri"/>
          <w:color w:val="000000"/>
          <w:sz w:val="24"/>
          <w:szCs w:val="24"/>
          <w:lang w:eastAsia="pl-PL"/>
        </w:rPr>
      </w:pPr>
    </w:p>
    <w:p w:rsidR="00263DE3" w:rsidRDefault="00263DE3" w:rsidP="00263DE3">
      <w:pPr>
        <w:rPr>
          <w:rFonts w:eastAsia="Times New Roman" w:cs="Calibri"/>
          <w:color w:val="000000"/>
          <w:sz w:val="24"/>
          <w:szCs w:val="24"/>
          <w:lang w:eastAsia="pl-PL"/>
        </w:rPr>
      </w:pPr>
      <w:r>
        <w:rPr>
          <w:rFonts w:eastAsia="Times New Roman" w:cs="Calibri"/>
          <w:color w:val="000000"/>
          <w:sz w:val="24"/>
          <w:szCs w:val="24"/>
          <w:lang w:eastAsia="pl-PL"/>
        </w:rPr>
        <w:t>NIEKTÓRE WYDATKI NIEKWALIFIKOWANE</w:t>
      </w:r>
    </w:p>
    <w:p w:rsidR="00263DE3" w:rsidRDefault="00263DE3" w:rsidP="00263DE3">
      <w:pPr>
        <w:pStyle w:val="Akapitzlist"/>
        <w:numPr>
          <w:ilvl w:val="1"/>
          <w:numId w:val="1"/>
        </w:numPr>
        <w:ind w:left="709" w:hanging="349"/>
        <w:jc w:val="both"/>
      </w:pPr>
      <w:r>
        <w:t>leasing maszyn, pojazdów i urządzeń,</w:t>
      </w:r>
    </w:p>
    <w:p w:rsidR="00263DE3" w:rsidRDefault="00263DE3" w:rsidP="00263DE3">
      <w:pPr>
        <w:pStyle w:val="Akapitzlist"/>
        <w:numPr>
          <w:ilvl w:val="1"/>
          <w:numId w:val="1"/>
        </w:numPr>
        <w:ind w:left="709" w:hanging="349"/>
        <w:jc w:val="both"/>
      </w:pPr>
      <w:r>
        <w:t>wniesienie wkładów do spółek,</w:t>
      </w:r>
    </w:p>
    <w:p w:rsidR="00263DE3" w:rsidRDefault="00263DE3" w:rsidP="00263DE3">
      <w:pPr>
        <w:pStyle w:val="Akapitzlist"/>
        <w:numPr>
          <w:ilvl w:val="1"/>
          <w:numId w:val="1"/>
        </w:numPr>
        <w:ind w:left="709" w:hanging="349"/>
        <w:jc w:val="both"/>
      </w:pPr>
      <w:r>
        <w:t>zakup nieruchomości,</w:t>
      </w:r>
    </w:p>
    <w:p w:rsidR="00263DE3" w:rsidRDefault="00263DE3" w:rsidP="00263DE3">
      <w:pPr>
        <w:pStyle w:val="Akapitzlist"/>
        <w:numPr>
          <w:ilvl w:val="1"/>
          <w:numId w:val="1"/>
        </w:numPr>
        <w:ind w:left="709" w:hanging="349"/>
        <w:jc w:val="both"/>
      </w:pPr>
      <w:r>
        <w:t>opłaty administracyjne i skarbowe, podatki, udziały wnoszone do spółek (bez prowadzenia działalności gospodarczej osobiście), zakup akcji, obligacji,</w:t>
      </w:r>
    </w:p>
    <w:p w:rsidR="00263DE3" w:rsidRDefault="00263DE3" w:rsidP="00263DE3">
      <w:pPr>
        <w:pStyle w:val="Akapitzlist"/>
        <w:numPr>
          <w:ilvl w:val="1"/>
          <w:numId w:val="1"/>
        </w:numPr>
        <w:ind w:left="709" w:hanging="349"/>
        <w:jc w:val="both"/>
      </w:pPr>
      <w:r>
        <w:t>wniesienie kaucji.</w:t>
      </w:r>
    </w:p>
    <w:p w:rsidR="00263DE3" w:rsidRDefault="00263DE3" w:rsidP="00263DE3">
      <w:pPr>
        <w:pStyle w:val="Akapitzlist"/>
        <w:numPr>
          <w:ilvl w:val="1"/>
          <w:numId w:val="1"/>
        </w:numPr>
        <w:ind w:left="709" w:hanging="349"/>
        <w:jc w:val="both"/>
      </w:pPr>
      <w:r>
        <w:t>sfinansowanie wydatków, które wcześniej były objęte wsparciem ze środków Wspólnoty lub w stosunku do których udzielona została pomoc publiczna (zakaz podwójnego finansowania),</w:t>
      </w:r>
    </w:p>
    <w:p w:rsidR="00263DE3" w:rsidRDefault="00263DE3" w:rsidP="00263DE3">
      <w:pPr>
        <w:pStyle w:val="Akapitzlist"/>
        <w:numPr>
          <w:ilvl w:val="1"/>
          <w:numId w:val="1"/>
        </w:numPr>
        <w:ind w:left="709" w:hanging="349"/>
        <w:jc w:val="both"/>
      </w:pPr>
      <w:r>
        <w:t>zapłatę kar i grzywien, w tym również kar umownych wynikających z naruszenia zawartych w ramach prowadzonej działalności umów,</w:t>
      </w:r>
    </w:p>
    <w:p w:rsidR="00263DE3" w:rsidRDefault="00263DE3" w:rsidP="00263DE3">
      <w:pPr>
        <w:pStyle w:val="Akapitzlist"/>
        <w:numPr>
          <w:ilvl w:val="1"/>
          <w:numId w:val="1"/>
        </w:numPr>
        <w:ind w:left="709" w:hanging="349"/>
        <w:jc w:val="both"/>
      </w:pPr>
      <w:r>
        <w:lastRenderedPageBreak/>
        <w:t>zakup środków transportu w przypadku podejmowania działalności w sektorze transportu towarów,</w:t>
      </w:r>
    </w:p>
    <w:p w:rsidR="00263DE3" w:rsidRDefault="00263DE3" w:rsidP="00263DE3">
      <w:pPr>
        <w:pStyle w:val="Akapitzlist"/>
        <w:numPr>
          <w:ilvl w:val="1"/>
          <w:numId w:val="1"/>
        </w:numPr>
        <w:ind w:left="709" w:hanging="349"/>
        <w:jc w:val="both"/>
      </w:pPr>
      <w:r>
        <w:t>zakup wartości niematerialnych i prawnych, które mają być elementem składowym innowacji (produktu innowacyjnego) w przypadku, gdy nie jest możliwe przekazanie praw autorskich na rzecz Beneficjenta dotyczących ww. wartości niematerialnych i prawnych,</w:t>
      </w:r>
    </w:p>
    <w:p w:rsidR="00263DE3" w:rsidRDefault="00263DE3" w:rsidP="00263DE3">
      <w:pPr>
        <w:pStyle w:val="Akapitzlist"/>
        <w:numPr>
          <w:ilvl w:val="1"/>
          <w:numId w:val="1"/>
        </w:numPr>
        <w:ind w:left="709" w:hanging="349"/>
        <w:jc w:val="both"/>
      </w:pPr>
      <w:r>
        <w:t>koszty administracyjne.</w:t>
      </w:r>
    </w:p>
    <w:p w:rsidR="000C3F72" w:rsidRDefault="000C3F72" w:rsidP="000C3F72">
      <w:pPr>
        <w:ind w:left="360"/>
        <w:jc w:val="both"/>
      </w:pPr>
    </w:p>
    <w:p w:rsidR="00263DE3" w:rsidRDefault="00263DE3" w:rsidP="00263DE3">
      <w:pPr>
        <w:pStyle w:val="Default"/>
        <w:ind w:left="360"/>
      </w:pPr>
    </w:p>
    <w:p w:rsidR="000C3F72" w:rsidRDefault="000C3F72" w:rsidP="00263DE3">
      <w:pPr>
        <w:pStyle w:val="Default"/>
        <w:spacing w:after="315"/>
        <w:rPr>
          <w:sz w:val="22"/>
          <w:szCs w:val="22"/>
        </w:rPr>
      </w:pPr>
      <w:r>
        <w:rPr>
          <w:sz w:val="22"/>
          <w:szCs w:val="22"/>
        </w:rPr>
        <w:t>POZOSTAŁE ZASADY KWALIFIKOWALNOŚCI WYDATKÓW</w:t>
      </w:r>
    </w:p>
    <w:p w:rsidR="00263DE3" w:rsidRDefault="00263DE3" w:rsidP="00263DE3">
      <w:pPr>
        <w:pStyle w:val="Default"/>
        <w:spacing w:after="315"/>
        <w:rPr>
          <w:sz w:val="22"/>
          <w:szCs w:val="22"/>
        </w:rPr>
      </w:pPr>
      <w:r>
        <w:rPr>
          <w:sz w:val="22"/>
          <w:szCs w:val="22"/>
        </w:rPr>
        <w:t xml:space="preserve">Stawki ujęte w katalogu są stawkami dopuszczalnymi (uwzględniającymi wartość brutto wydatku), co jednak nie oznacza automatycznego akceptowania przez oceniających stawek założonych w części kosztorysowej specyfikacji innowacji. </w:t>
      </w:r>
    </w:p>
    <w:p w:rsidR="00263DE3" w:rsidRDefault="00263DE3" w:rsidP="00263DE3">
      <w:pPr>
        <w:pStyle w:val="Default"/>
        <w:spacing w:after="315"/>
        <w:rPr>
          <w:sz w:val="22"/>
          <w:szCs w:val="22"/>
        </w:rPr>
      </w:pPr>
      <w:r>
        <w:rPr>
          <w:sz w:val="22"/>
          <w:szCs w:val="22"/>
        </w:rPr>
        <w:t xml:space="preserve">Przyjęcie dopuszczalnej stawki nie oznacza również, że będzie akceptowana w każdym kosztorysie – przy ocenie będą brane pod uwagę takie czynniki jak: specyfika projektu, stopień złożoności projektu, wielkość grupy docelowej, miejsce realizacji. </w:t>
      </w:r>
    </w:p>
    <w:p w:rsidR="00263DE3" w:rsidRDefault="00263DE3" w:rsidP="00263DE3">
      <w:pPr>
        <w:pStyle w:val="Default"/>
        <w:spacing w:after="315"/>
        <w:rPr>
          <w:sz w:val="22"/>
          <w:szCs w:val="22"/>
        </w:rPr>
      </w:pPr>
      <w:r>
        <w:rPr>
          <w:sz w:val="22"/>
          <w:szCs w:val="22"/>
        </w:rPr>
        <w:t>Jeśli dany koszt nie został ujęty w katalogu istnieje możliwość odniesienia się do ceny podobnej kategorii kosztowej.</w:t>
      </w:r>
    </w:p>
    <w:p w:rsidR="00263DE3" w:rsidRDefault="00263DE3" w:rsidP="00263DE3">
      <w:pPr>
        <w:pStyle w:val="Default"/>
        <w:spacing w:after="315"/>
        <w:rPr>
          <w:sz w:val="22"/>
          <w:szCs w:val="22"/>
        </w:rPr>
      </w:pPr>
      <w:r>
        <w:rPr>
          <w:sz w:val="22"/>
          <w:szCs w:val="22"/>
        </w:rPr>
        <w:t xml:space="preserve">Jeżeli dana pozycja kosztowa nie znajduje się w zestawieniu, </w:t>
      </w:r>
      <w:proofErr w:type="spellStart"/>
      <w:r>
        <w:rPr>
          <w:sz w:val="22"/>
          <w:szCs w:val="22"/>
        </w:rPr>
        <w:t>grantobiorca</w:t>
      </w:r>
      <w:proofErr w:type="spellEnd"/>
      <w:r>
        <w:rPr>
          <w:sz w:val="22"/>
          <w:szCs w:val="22"/>
        </w:rPr>
        <w:t xml:space="preserve"> zobligowany jest przeprowadzić rozpoznanie cen obowiązujących na rynku w branży przedmiotowego zamówienia. Dokumentacja potwierdzająca przeprowadzenie procedury dokonania rozeznania obejmuje: zapytania ofertowe skierowane do potencjalnych wykonawców wraz wykazem złożonych ofert lub wydruki ze stron internetowych potwierdzających oferty potencjalnych wykonawców.</w:t>
      </w:r>
    </w:p>
    <w:p w:rsidR="00263DE3" w:rsidRDefault="000C3F72" w:rsidP="00263DE3">
      <w:pPr>
        <w:pStyle w:val="Default"/>
        <w:spacing w:after="315"/>
        <w:rPr>
          <w:sz w:val="22"/>
          <w:szCs w:val="22"/>
        </w:rPr>
      </w:pPr>
      <w:r>
        <w:rPr>
          <w:i/>
          <w:iCs/>
          <w:sz w:val="22"/>
          <w:szCs w:val="22"/>
        </w:rPr>
        <w:t xml:space="preserve">Zestawienie standardu cen rynkowych </w:t>
      </w:r>
      <w:r w:rsidR="00263DE3">
        <w:rPr>
          <w:sz w:val="22"/>
          <w:szCs w:val="22"/>
        </w:rPr>
        <w:t>nie stanowi katalogu zamkniętego i może być rozszerzany o nowe pozycje.</w:t>
      </w:r>
    </w:p>
    <w:p w:rsidR="00263DE3" w:rsidRDefault="00263DE3" w:rsidP="00263DE3">
      <w:proofErr w:type="spellStart"/>
      <w:r>
        <w:t>Grantodawca</w:t>
      </w:r>
      <w:proofErr w:type="spellEnd"/>
      <w:r>
        <w:t xml:space="preserve"> zastrzega sobie możliwość podjęcia negocjacji z </w:t>
      </w:r>
      <w:proofErr w:type="spellStart"/>
      <w:r>
        <w:t>Grantobiorcą</w:t>
      </w:r>
      <w:proofErr w:type="spellEnd"/>
      <w:r>
        <w:t xml:space="preserve"> w zakresie kwoty Grantu tj. wyceny poszczególnych elementów (składowych) innowacji, rezultatów (efektów) cząstkowych.</w:t>
      </w:r>
    </w:p>
    <w:p w:rsidR="00EE19DE" w:rsidRDefault="00EE19DE" w:rsidP="00393249"/>
    <w:p w:rsidR="00EE19DE" w:rsidRPr="00EE19DE" w:rsidRDefault="00EE19DE" w:rsidP="00EE19DE"/>
    <w:p w:rsidR="00EE19DE" w:rsidRPr="00EE19DE" w:rsidRDefault="00EE19DE" w:rsidP="00EE19DE"/>
    <w:p w:rsidR="00051B8C" w:rsidRPr="00EE19DE" w:rsidRDefault="00EE19DE" w:rsidP="00EE19DE">
      <w:pPr>
        <w:tabs>
          <w:tab w:val="left" w:pos="5824"/>
        </w:tabs>
      </w:pPr>
      <w:r>
        <w:tab/>
      </w:r>
    </w:p>
    <w:sectPr w:rsidR="00051B8C" w:rsidRPr="00EE19DE" w:rsidSect="00393249">
      <w:headerReference w:type="even" r:id="rId7"/>
      <w:headerReference w:type="default" r:id="rId8"/>
      <w:footerReference w:type="even" r:id="rId9"/>
      <w:footerReference w:type="default" r:id="rId10"/>
      <w:headerReference w:type="first" r:id="rId11"/>
      <w:footerReference w:type="first" r:id="rId12"/>
      <w:type w:val="continuous"/>
      <w:pgSz w:w="11906" w:h="16838"/>
      <w:pgMar w:top="2522"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A7F" w:rsidRDefault="00237A7F" w:rsidP="00051B8C">
      <w:pPr>
        <w:spacing w:after="0" w:line="240" w:lineRule="auto"/>
      </w:pPr>
      <w:r>
        <w:separator/>
      </w:r>
    </w:p>
  </w:endnote>
  <w:endnote w:type="continuationSeparator" w:id="0">
    <w:p w:rsidR="00237A7F" w:rsidRDefault="00237A7F" w:rsidP="00051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E3" w:rsidRDefault="00263DE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2751"/>
      <w:docPartObj>
        <w:docPartGallery w:val="Page Numbers (Bottom of Page)"/>
        <w:docPartUnique/>
      </w:docPartObj>
    </w:sdtPr>
    <w:sdtContent>
      <w:p w:rsidR="00263DE3" w:rsidRDefault="002A1680">
        <w:pPr>
          <w:pStyle w:val="Stopka"/>
          <w:jc w:val="right"/>
        </w:pPr>
        <w:fldSimple w:instr=" PAGE   \* MERGEFORMAT ">
          <w:r w:rsidR="000C3F72">
            <w:rPr>
              <w:noProof/>
            </w:rPr>
            <w:t>1</w:t>
          </w:r>
        </w:fldSimple>
      </w:p>
    </w:sdtContent>
  </w:sdt>
  <w:p w:rsidR="00EA6859" w:rsidRDefault="00EA685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E3" w:rsidRDefault="00263D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A7F" w:rsidRDefault="00237A7F" w:rsidP="00051B8C">
      <w:pPr>
        <w:spacing w:after="0" w:line="240" w:lineRule="auto"/>
      </w:pPr>
      <w:r>
        <w:separator/>
      </w:r>
    </w:p>
  </w:footnote>
  <w:footnote w:type="continuationSeparator" w:id="0">
    <w:p w:rsidR="00237A7F" w:rsidRDefault="00237A7F" w:rsidP="00051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E3" w:rsidRDefault="00263DE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3B" w:rsidRDefault="00BE413B">
    <w:pPr>
      <w:pStyle w:val="Nagwek"/>
    </w:pPr>
    <w:r>
      <w:rPr>
        <w:noProof/>
        <w:lang w:eastAsia="pl-PL"/>
      </w:rPr>
      <w:drawing>
        <wp:anchor distT="0" distB="0" distL="114300" distR="114300" simplePos="0" relativeHeight="251658240" behindDoc="0" locked="0" layoutInCell="1" allowOverlap="1">
          <wp:simplePos x="0" y="0"/>
          <wp:positionH relativeFrom="column">
            <wp:posOffset>-95885</wp:posOffset>
          </wp:positionH>
          <wp:positionV relativeFrom="paragraph">
            <wp:posOffset>2540</wp:posOffset>
          </wp:positionV>
          <wp:extent cx="5939790" cy="452120"/>
          <wp:effectExtent l="19050" t="0" r="3810" b="0"/>
          <wp:wrapSquare wrapText="bothSides"/>
          <wp:docPr id="1" name="Obraz 0" descr="Papier inkubator 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inkubator gora.jpg"/>
                  <pic:cNvPicPr/>
                </pic:nvPicPr>
                <pic:blipFill>
                  <a:blip r:embed="rId1"/>
                  <a:stretch>
                    <a:fillRect/>
                  </a:stretch>
                </pic:blipFill>
                <pic:spPr>
                  <a:xfrm>
                    <a:off x="0" y="0"/>
                    <a:ext cx="5939790" cy="452120"/>
                  </a:xfrm>
                  <a:prstGeom prst="rect">
                    <a:avLst/>
                  </a:prstGeom>
                </pic:spPr>
              </pic:pic>
            </a:graphicData>
          </a:graphic>
        </wp:anchor>
      </w:drawing>
    </w:r>
  </w:p>
  <w:p w:rsidR="00BE413B" w:rsidRDefault="00BE413B">
    <w:pPr>
      <w:pStyle w:val="Nagwek"/>
    </w:pPr>
  </w:p>
  <w:p w:rsidR="00BE413B" w:rsidRDefault="00BE413B">
    <w:pPr>
      <w:pStyle w:val="Nagwek"/>
    </w:pPr>
  </w:p>
  <w:p w:rsidR="00EA6859" w:rsidRDefault="00EA6859">
    <w:pPr>
      <w:pStyle w:val="Nagwek"/>
    </w:pPr>
  </w:p>
  <w:p w:rsidR="00BE413B" w:rsidRPr="00BE413B" w:rsidRDefault="0090458E" w:rsidP="00BE413B">
    <w:pPr>
      <w:pStyle w:val="Nagwek"/>
      <w:jc w:val="center"/>
      <w:rPr>
        <w:sz w:val="16"/>
      </w:rPr>
    </w:pPr>
    <w:r>
      <w:rPr>
        <w:sz w:val="16"/>
      </w:rPr>
      <w:t>„</w:t>
    </w:r>
    <w:r w:rsidR="00BE413B" w:rsidRPr="00BE413B">
      <w:rPr>
        <w:sz w:val="16"/>
      </w:rPr>
      <w:t>Inkubacja innowacji społecznych w obszarze kształce</w:t>
    </w:r>
    <w:r>
      <w:rPr>
        <w:sz w:val="16"/>
      </w:rPr>
      <w:t>nia ustawicznego osób dorosłych”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E3" w:rsidRDefault="00263D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6B9E"/>
    <w:multiLevelType w:val="multilevel"/>
    <w:tmpl w:val="A192F58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0722">
      <o:colormenu v:ext="edit" strokecolor="none [3212]"/>
    </o:shapedefaults>
  </w:hdrShapeDefaults>
  <w:footnotePr>
    <w:footnote w:id="-1"/>
    <w:footnote w:id="0"/>
  </w:footnotePr>
  <w:endnotePr>
    <w:endnote w:id="-1"/>
    <w:endnote w:id="0"/>
  </w:endnotePr>
  <w:compat/>
  <w:rsids>
    <w:rsidRoot w:val="00E40CAC"/>
    <w:rsid w:val="00003005"/>
    <w:rsid w:val="00051B8C"/>
    <w:rsid w:val="000C3F72"/>
    <w:rsid w:val="000E185E"/>
    <w:rsid w:val="000F0FCC"/>
    <w:rsid w:val="0019296C"/>
    <w:rsid w:val="001C6FE4"/>
    <w:rsid w:val="001D5BF0"/>
    <w:rsid w:val="00227A74"/>
    <w:rsid w:val="00237A7F"/>
    <w:rsid w:val="00263DE3"/>
    <w:rsid w:val="0027648D"/>
    <w:rsid w:val="0029446F"/>
    <w:rsid w:val="002A1680"/>
    <w:rsid w:val="0032217F"/>
    <w:rsid w:val="00366B79"/>
    <w:rsid w:val="00393249"/>
    <w:rsid w:val="003D5C1B"/>
    <w:rsid w:val="00415B62"/>
    <w:rsid w:val="00451B3A"/>
    <w:rsid w:val="004A13DD"/>
    <w:rsid w:val="00533890"/>
    <w:rsid w:val="00566AD4"/>
    <w:rsid w:val="005A0F78"/>
    <w:rsid w:val="005F3A0E"/>
    <w:rsid w:val="006327E4"/>
    <w:rsid w:val="007429D0"/>
    <w:rsid w:val="007C24B9"/>
    <w:rsid w:val="00843677"/>
    <w:rsid w:val="0085024B"/>
    <w:rsid w:val="008D0062"/>
    <w:rsid w:val="0090458E"/>
    <w:rsid w:val="00A718A3"/>
    <w:rsid w:val="00B32A2D"/>
    <w:rsid w:val="00BC0B13"/>
    <w:rsid w:val="00BE413B"/>
    <w:rsid w:val="00C26621"/>
    <w:rsid w:val="00D74385"/>
    <w:rsid w:val="00E40CAC"/>
    <w:rsid w:val="00E70B8F"/>
    <w:rsid w:val="00EA0CCB"/>
    <w:rsid w:val="00EA6859"/>
    <w:rsid w:val="00EE19DE"/>
    <w:rsid w:val="00F10B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46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764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648D"/>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051B8C"/>
    <w:rPr>
      <w:sz w:val="20"/>
      <w:szCs w:val="20"/>
    </w:rPr>
  </w:style>
  <w:style w:type="character" w:customStyle="1" w:styleId="TekstprzypisukocowegoZnak">
    <w:name w:val="Tekst przypisu końcowego Znak"/>
    <w:basedOn w:val="Domylnaczcionkaakapitu"/>
    <w:link w:val="Tekstprzypisukocowego"/>
    <w:uiPriority w:val="99"/>
    <w:semiHidden/>
    <w:rsid w:val="00051B8C"/>
    <w:rPr>
      <w:lang w:eastAsia="en-US"/>
    </w:rPr>
  </w:style>
  <w:style w:type="character" w:styleId="Odwoanieprzypisukocowego">
    <w:name w:val="endnote reference"/>
    <w:basedOn w:val="Domylnaczcionkaakapitu"/>
    <w:uiPriority w:val="99"/>
    <w:semiHidden/>
    <w:unhideWhenUsed/>
    <w:rsid w:val="00051B8C"/>
    <w:rPr>
      <w:vertAlign w:val="superscript"/>
    </w:rPr>
  </w:style>
  <w:style w:type="paragraph" w:styleId="Nagwek">
    <w:name w:val="header"/>
    <w:basedOn w:val="Normalny"/>
    <w:link w:val="NagwekZnak"/>
    <w:uiPriority w:val="99"/>
    <w:semiHidden/>
    <w:unhideWhenUsed/>
    <w:rsid w:val="00EA68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6859"/>
    <w:rPr>
      <w:sz w:val="22"/>
      <w:szCs w:val="22"/>
      <w:lang w:eastAsia="en-US"/>
    </w:rPr>
  </w:style>
  <w:style w:type="paragraph" w:styleId="Stopka">
    <w:name w:val="footer"/>
    <w:basedOn w:val="Normalny"/>
    <w:link w:val="StopkaZnak"/>
    <w:uiPriority w:val="99"/>
    <w:unhideWhenUsed/>
    <w:rsid w:val="00EA6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859"/>
    <w:rPr>
      <w:sz w:val="22"/>
      <w:szCs w:val="22"/>
      <w:lang w:eastAsia="en-US"/>
    </w:rPr>
  </w:style>
  <w:style w:type="paragraph" w:styleId="Akapitzlist">
    <w:name w:val="List Paragraph"/>
    <w:basedOn w:val="Normalny"/>
    <w:uiPriority w:val="34"/>
    <w:qFormat/>
    <w:rsid w:val="00263DE3"/>
    <w:pPr>
      <w:ind w:left="720"/>
      <w:contextualSpacing/>
    </w:pPr>
    <w:rPr>
      <w:rFonts w:asciiTheme="minorHAnsi" w:eastAsiaTheme="minorHAnsi" w:hAnsiTheme="minorHAnsi" w:cstheme="minorBidi"/>
    </w:rPr>
  </w:style>
  <w:style w:type="paragraph" w:customStyle="1" w:styleId="Default">
    <w:name w:val="Default"/>
    <w:rsid w:val="00263DE3"/>
    <w:pPr>
      <w:autoSpaceDE w:val="0"/>
      <w:autoSpaceDN w:val="0"/>
      <w:adjustRightInd w:val="0"/>
    </w:pPr>
    <w:rPr>
      <w:rFonts w:eastAsiaTheme="minorHAnsi" w:cs="Calibri"/>
      <w:color w:val="000000"/>
      <w:sz w:val="24"/>
      <w:szCs w:val="24"/>
      <w:lang w:eastAsia="en-US"/>
    </w:rPr>
  </w:style>
  <w:style w:type="table" w:styleId="Tabela-Siatka">
    <w:name w:val="Table Grid"/>
    <w:basedOn w:val="Standardowy"/>
    <w:uiPriority w:val="59"/>
    <w:rsid w:val="00263DE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70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1127</Words>
  <Characters>6765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janulewicz</cp:lastModifiedBy>
  <cp:revision>7</cp:revision>
  <cp:lastPrinted>2016-10-17T14:49:00Z</cp:lastPrinted>
  <dcterms:created xsi:type="dcterms:W3CDTF">2016-10-20T13:17:00Z</dcterms:created>
  <dcterms:modified xsi:type="dcterms:W3CDTF">2017-04-28T13:15:00Z</dcterms:modified>
</cp:coreProperties>
</file>